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" w:before="20" w:lineRule="auto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“Batterien statt Bremsen: Warum Deutschland jetzt handeln muss!”</w:t>
      </w:r>
    </w:p>
    <w:p w:rsidR="00000000" w:rsidDel="00000000" w:rsidP="00000000" w:rsidRDefault="00000000" w:rsidRPr="00000000" w14:paraId="00000002">
      <w:pPr>
        <w:spacing w:after="20" w:before="20" w:lineRule="auto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Hamburg, 13. April 2026</w:t>
      </w: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 – Beim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ersten Hamburger Batterietag</w:t>
      </w: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 machte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Prof.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Maximilian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 Fichtner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, Direktor des Helmholtz-Instituts Ulm und Professor am Karlsruher Institut für Technologie (KIT)</w:t>
      </w: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, deutlich: Deutschland steht am Scheideweg der Energiewende – und Batterien sind der Schlüssel.</w:t>
      </w:r>
    </w:p>
    <w:p w:rsidR="00000000" w:rsidDel="00000000" w:rsidP="00000000" w:rsidRDefault="00000000" w:rsidRPr="00000000" w14:paraId="00000004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„Der Erntefaktor von fossilen Energieträgern sinkt dramatisch – wir müssen in andere Technologien investieren, sonst laufen wir ins energetische Aus“, warnte Fichtner. Fossile Energien verlieren an Effizienz, Wind- und Solarstrom unterliegen starken Schwankungen –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Speicher sind unverzichtbar</w:t>
      </w: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, sowohl für Haushalte als auch für Quartiere, Industrie und Städte. Gesetzgeber müssen deshalb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den raschen Ausbau von Speichertechnologien fördern</w:t>
      </w: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, Standards für Qualität, Lebensdauer und Kreislaufwirtschaft definieren und bürokratische Hürden abbauen. Verzögerungen kosten Wettbewerbsfähigkeit und Klimaschutz.</w:t>
      </w:r>
    </w:p>
    <w:p w:rsidR="00000000" w:rsidDel="00000000" w:rsidP="00000000" w:rsidRDefault="00000000" w:rsidRPr="00000000" w14:paraId="00000006">
      <w:pPr>
        <w:spacing w:after="20" w:before="20" w:lineRule="auto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" w:before="20" w:lineRule="auto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Elektro statt Wasserstoff – pragmatische Mobilität</w:t>
      </w:r>
    </w:p>
    <w:p w:rsidR="00000000" w:rsidDel="00000000" w:rsidP="00000000" w:rsidRDefault="00000000" w:rsidRPr="00000000" w14:paraId="00000008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Die Lebenszyklusbetrachtung zeigt: Batterieelektrische Fahrzeuge sind effizienter, einfacher, wartungsärmer – und klimafreundlicher als Verbrenner. Wasserstofffahrzeuge hingegen seien aktuell eher Teil des Problems.</w:t>
      </w:r>
    </w:p>
    <w:p w:rsidR="00000000" w:rsidDel="00000000" w:rsidP="00000000" w:rsidRDefault="00000000" w:rsidRPr="00000000" w14:paraId="00000009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„Die alte Welt stirbt, die neue kämpft ums </w:t>
      </w: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Geborenwerden</w:t>
      </w: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 – wer im Verbrennerbereich verharrt, schrumpft.“ Förderung solle gezielt in Elektromobilität fließen, inklusive Ladeinfrastruktur, Recyclingstrategien und lokal produzierten Batteriespeichern. Subventionen für ineffiziente Technologien würden die Wende verschleppen.</w:t>
      </w:r>
    </w:p>
    <w:p w:rsidR="00000000" w:rsidDel="00000000" w:rsidP="00000000" w:rsidRDefault="00000000" w:rsidRPr="00000000" w14:paraId="0000000A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" w:before="20" w:lineRule="auto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Made in Germany: Qualität statt billig</w:t>
      </w:r>
    </w:p>
    <w:p w:rsidR="00000000" w:rsidDel="00000000" w:rsidP="00000000" w:rsidRDefault="00000000" w:rsidRPr="00000000" w14:paraId="0000000C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Prof. Fichtner warnte vor Billigimporten: Diese bergen Sicherheitsrisiken, kurze Lebensdauer und unsichere Lieferketten. Deutsche Speichertechnologie verbindet Entwicklungsdesign, Produktion und Qualitätssicherung und ermöglicht langlebige, recyclingfähige Lösungen. Second-Life-Batterien verlängern den Lebenszyklus und sparen CO₂. „Nicht alles, was billig ist, ist auch nachhaltig oder sicher – wir müssen auf Qualität und Lebensdauer achten.“ Förderprogramme und regulatorische Rahmen müssten deutsche und europäische Speichertechnologien priorisieren und gleichzeitig Kreislaufwirtschaft und Second-Life-Lösungen standardisieren.</w:t>
      </w:r>
    </w:p>
    <w:p w:rsidR="00000000" w:rsidDel="00000000" w:rsidP="00000000" w:rsidRDefault="00000000" w:rsidRPr="00000000" w14:paraId="0000000D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" w:before="20" w:lineRule="auto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Quartiere als dezentrale Energiesysteme</w:t>
      </w:r>
    </w:p>
    <w:p w:rsidR="00000000" w:rsidDel="00000000" w:rsidP="00000000" w:rsidRDefault="00000000" w:rsidRPr="00000000" w14:paraId="0000000F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Praxisprojekte wie die Frankgruppe im Immenweg oder Speicherlösungen von NAEXT zeigen: PV, BHKW, Wärmepumpen, Ladeinfrastruktur und Batteriespeicher funktionieren zusammen – wenn Politik und Regulierung mitspielen. Intelligente Steuerung, digitale Zwillinge und Lastmanagement erhöhen Autarkie, senken Kosten und stabilisieren Netze. Gesetze müssten rechtliche Hürden für Mehrparteienhäuser und Quartierslösungen abbauen, standardisierte Mess- und Steuerkonzepte einführen und Investitionssicherheit garantieren. Nur so kann die dezentrale Energiewende flächendeckend umgesetzt werden.</w:t>
      </w:r>
    </w:p>
    <w:p w:rsidR="00000000" w:rsidDel="00000000" w:rsidP="00000000" w:rsidRDefault="00000000" w:rsidRPr="00000000" w14:paraId="00000010">
      <w:pPr>
        <w:spacing w:after="20" w:before="20" w:lineRule="auto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" w:before="20" w:lineRule="auto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Fazit:</w:t>
      </w:r>
    </w:p>
    <w:p w:rsidR="00000000" w:rsidDel="00000000" w:rsidP="00000000" w:rsidRDefault="00000000" w:rsidRPr="00000000" w14:paraId="00000012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Prof. Fichtners Botschaft ist unmissverständlich: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" w:before="20" w:lineRule="auto"/>
        <w:ind w:left="720" w:hanging="50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Fossile Energien sind auf dem Rückzug, Speicher unverzichtbar.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" w:before="20" w:lineRule="auto"/>
        <w:ind w:left="720" w:hanging="50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Batterieelektrische Fahrzeuge und lokale Speicher sind Schlüsseltechnologien.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" w:before="20" w:lineRule="auto"/>
        <w:ind w:left="720" w:hanging="50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Qualität, Lebensdauer und Recyclingfähigkeit als Standard einführen.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" w:before="20" w:lineRule="auto"/>
        <w:ind w:left="720" w:hanging="50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Politische Rahmenbedingungen </w:t>
      </w: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müssen</w:t>
      </w: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 schnellen, dezentralen Ausbau ermöglichen.</w:t>
      </w:r>
    </w:p>
    <w:p w:rsidR="00000000" w:rsidDel="00000000" w:rsidP="00000000" w:rsidRDefault="00000000" w:rsidRPr="00000000" w14:paraId="00000017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Wer die Energiewende wirklich will, darf nicht zögern, nicht verzetteln, nicht auf Billiglösungen setzen – sondern muss jetzt handeln: klare Priorität für Batterien „Made in Germany“ und regulatorische Sicherheit für Quartierslösungen.</w:t>
      </w:r>
    </w:p>
    <w:p w:rsidR="00000000" w:rsidDel="00000000" w:rsidP="00000000" w:rsidRDefault="00000000" w:rsidRPr="00000000" w14:paraId="00000018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„Unsere Speicher sind echte Kraftwerke – sicher, langlebig und vollständig in Deutschland entwickelt.“</w:t>
      </w:r>
    </w:p>
    <w:p w:rsidR="00000000" w:rsidDel="00000000" w:rsidP="00000000" w:rsidRDefault="00000000" w:rsidRPr="00000000" w14:paraId="00000019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" w:before="20" w:lineRule="auto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Teilnehmerliste: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0" w:before="20" w:lineRule="auto"/>
        <w:ind w:left="720" w:hanging="360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Prof. Dr. Maximilian Fichtner, Direktor des Helmholtz-Instituts Ulm (HIU) für Elektrochemische Energiespeicherung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0" w:before="20" w:lineRule="auto"/>
        <w:ind w:left="720" w:hanging="360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Dr. Enno Wolf, ehemaliger COO von LichtBlick SE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0" w:before="20" w:lineRule="auto"/>
        <w:ind w:left="720" w:hanging="360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Nick Zippel, Geschäftsführer HWP Handwerkspartner und Mitgründer von NAEXT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" w:before="20" w:lineRule="auto"/>
        <w:ind w:left="720" w:hanging="360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Henning Behn, Geschäftsführer und Mitgründer von NAEXT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" w:before="20" w:lineRule="auto"/>
        <w:ind w:left="720" w:hanging="360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Dr. Sarah Debor, Geschäftsbereichsleiterin Geschäftsentwicklung bei der naturstrom AG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0" w:before="20" w:lineRule="auto"/>
        <w:ind w:left="720" w:hanging="36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Nicola Beck, Leiterin EnergieBauZentrum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0" w:before="20" w:lineRule="auto"/>
        <w:ind w:left="720" w:hanging="36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Benedikt Leidorf, Head of Energy &amp; Real Estate Solutions bei FRANK und Geschäftsführer der FRANK Ecoenergy GmbH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0" w:before="20" w:lineRule="auto"/>
        <w:ind w:left="720" w:hanging="36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Tomas Fernandez y Wiese, Geschäftsführer der HOSENSO GmbH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0" w:before="20" w:lineRule="auto"/>
        <w:ind w:left="720" w:hanging="360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Martin Spiegel, geschäftsführender Gesellschafter der </w:t>
      </w: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SCADA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" w:before="20" w:lineRule="auto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" w:before="20" w:lineRule="auto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Weiteres Pressematerial wie Pressemitteilungen, Interviews, Fachbeiträge sowie Bilder zum Download finden Sie hier: </w:t>
      </w:r>
    </w:p>
    <w:p w:rsidR="00000000" w:rsidDel="00000000" w:rsidP="00000000" w:rsidRDefault="00000000" w:rsidRPr="00000000" w14:paraId="00000026">
      <w:pPr>
        <w:spacing w:after="20" w:before="20" w:lineRule="auto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hyperlink r:id="rId6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6"/>
            <w:szCs w:val="26"/>
            <w:u w:val="single"/>
            <w:rtl w:val="0"/>
          </w:rPr>
          <w:t xml:space="preserve">www.energiewende-braucht-speicher.de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Pressekontakt: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Leonie Zippel</w:t>
      </w:r>
    </w:p>
    <w:p w:rsidR="00000000" w:rsidDel="00000000" w:rsidP="00000000" w:rsidRDefault="00000000" w:rsidRPr="00000000" w14:paraId="0000002A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NAEXT GmbH</w:t>
      </w:r>
    </w:p>
    <w:p w:rsidR="00000000" w:rsidDel="00000000" w:rsidP="00000000" w:rsidRDefault="00000000" w:rsidRPr="00000000" w14:paraId="0000002B">
      <w:pPr>
        <w:spacing w:after="20" w:before="2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+49 (0) 173 5750733</w:t>
        <w:br w:type="textWrapping"/>
        <w:t xml:space="preserve">media@naext.de</w:t>
      </w:r>
    </w:p>
    <w:sectPr>
      <w:headerReference r:id="rId7" w:type="default"/>
      <w:footerReference r:id="rId8" w:type="default"/>
      <w:pgSz w:h="16838" w:w="11906" w:orient="portrait"/>
      <w:pgMar w:bottom="1134" w:top="1418" w:left="1418" w:right="1418" w:header="566.929133858267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Style w:val="Heading1"/>
      <w:tabs>
        <w:tab w:val="left" w:leader="none" w:pos="567"/>
      </w:tabs>
      <w:rPr>
        <w:sz w:val="20"/>
        <w:szCs w:val="20"/>
      </w:rPr>
    </w:pPr>
    <w:bookmarkStart w:colFirst="0" w:colLast="0" w:name="_sne15furivy" w:id="0"/>
    <w:bookmarkEnd w:id="0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5155248</wp:posOffset>
              </wp:positionH>
              <wp:positionV relativeFrom="paragraph">
                <wp:posOffset>109538</wp:posOffset>
              </wp:positionV>
              <wp:extent cx="470535" cy="141414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15495" y="3077690"/>
                        <a:ext cx="46101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PAGE   \* MERGEFORMAT1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5155248</wp:posOffset>
              </wp:positionH>
              <wp:positionV relativeFrom="paragraph">
                <wp:posOffset>109538</wp:posOffset>
              </wp:positionV>
              <wp:extent cx="470535" cy="1414145"/>
              <wp:effectExtent b="0" l="0" r="0" t="0"/>
              <wp:wrapSquare wrapText="bothSides" distB="45720" distT="4572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0535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130263" cy="80050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0263" cy="8005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500"/>
      </w:pPr>
      <w:rPr>
        <w:u w:val="none"/>
      </w:rPr>
    </w:lvl>
    <w:lvl w:ilvl="1">
      <w:start w:val="1"/>
      <w:numFmt w:val="bullet"/>
      <w:lvlText w:val="•"/>
      <w:lvlJc w:val="left"/>
      <w:pPr>
        <w:ind w:left="982" w:hanging="542"/>
      </w:pPr>
      <w:rPr>
        <w:u w:val="none"/>
      </w:rPr>
    </w:lvl>
    <w:lvl w:ilvl="2">
      <w:start w:val="1"/>
      <w:numFmt w:val="bullet"/>
      <w:lvlText w:val="•"/>
      <w:lvlJc w:val="left"/>
      <w:pPr>
        <w:ind w:left="1202" w:hanging="542"/>
      </w:pPr>
      <w:rPr>
        <w:u w:val="none"/>
      </w:rPr>
    </w:lvl>
    <w:lvl w:ilvl="3">
      <w:start w:val="1"/>
      <w:numFmt w:val="bullet"/>
      <w:lvlText w:val="•"/>
      <w:lvlJc w:val="left"/>
      <w:pPr>
        <w:ind w:left="1422" w:hanging="542.0000000000001"/>
      </w:pPr>
      <w:rPr>
        <w:u w:val="none"/>
      </w:rPr>
    </w:lvl>
    <w:lvl w:ilvl="4">
      <w:start w:val="1"/>
      <w:numFmt w:val="bullet"/>
      <w:lvlText w:val="•"/>
      <w:lvlJc w:val="left"/>
      <w:pPr>
        <w:ind w:left="1642" w:hanging="542.0000000000002"/>
      </w:pPr>
      <w:rPr>
        <w:u w:val="none"/>
      </w:rPr>
    </w:lvl>
    <w:lvl w:ilvl="5">
      <w:start w:val="1"/>
      <w:numFmt w:val="bullet"/>
      <w:lvlText w:val="•"/>
      <w:lvlJc w:val="left"/>
      <w:pPr>
        <w:ind w:left="1862" w:hanging="542"/>
      </w:pPr>
      <w:rPr>
        <w:u w:val="none"/>
      </w:rPr>
    </w:lvl>
    <w:lvl w:ilvl="6">
      <w:start w:val="1"/>
      <w:numFmt w:val="bullet"/>
      <w:lvlText w:val="•"/>
      <w:lvlJc w:val="left"/>
      <w:pPr>
        <w:ind w:left="2082" w:hanging="542"/>
      </w:pPr>
      <w:rPr>
        <w:u w:val="none"/>
      </w:rPr>
    </w:lvl>
    <w:lvl w:ilvl="7">
      <w:start w:val="1"/>
      <w:numFmt w:val="bullet"/>
      <w:lvlText w:val="•"/>
      <w:lvlJc w:val="left"/>
      <w:pPr>
        <w:ind w:left="2302" w:hanging="542"/>
      </w:pPr>
      <w:rPr>
        <w:u w:val="none"/>
      </w:rPr>
    </w:lvl>
    <w:lvl w:ilvl="8">
      <w:start w:val="1"/>
      <w:numFmt w:val="bullet"/>
      <w:lvlText w:val="•"/>
      <w:lvlJc w:val="left"/>
      <w:pPr>
        <w:ind w:left="2522" w:hanging="542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567"/>
      </w:tabs>
      <w:spacing w:after="240" w:lineRule="auto"/>
      <w:ind w:left="432" w:hanging="432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lineRule="auto"/>
      <w:ind w:left="576" w:hanging="576.0000000000002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160" w:before="120" w:lineRule="auto"/>
      <w:ind w:left="720" w:hanging="720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720"/>
      </w:tabs>
      <w:spacing w:after="120" w:before="120" w:lineRule="auto"/>
      <w:ind w:left="864" w:hanging="864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energiewende-braucht-speicher.de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0x0101006806D375AC786F46A8490CD567A4D823</vt:lpwstr>
  </property>
  <property fmtid="{D5CDD505-2E9C-101B-9397-08002B2CF9AE}" pid="3" name="MediaServiceImageTags">
    <vt:lpwstr>MediaServiceImageTags</vt:lpwstr>
  </property>
</Properties>
</file>