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1. Hamburger Batterietag – Wissenschaft und Wirtschaft sind sich einig: </w:t>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Die Energiewende braucht Speicher, nicht Stillstand.</w:t>
      </w:r>
    </w:p>
    <w:p w:rsidR="00000000" w:rsidDel="00000000" w:rsidP="00000000" w:rsidRDefault="00000000" w:rsidRPr="00000000" w14:paraId="00000003">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Batteriespeicher sind systemreif, wirtschaftlich tragfähig und unverzichtbar für eine fossilfreie Energieversorgung. Während die energiepolitische Debatte in Deutschland aktuell von Zurückhaltung geprägt ist, setzte der</w:t>
      </w:r>
      <w:r w:rsidDel="00000000" w:rsidR="00000000" w:rsidRPr="00000000">
        <w:rPr>
          <w:rFonts w:ascii="Helvetica Neue" w:cs="Helvetica Neue" w:eastAsia="Helvetica Neue" w:hAnsi="Helvetica Neue"/>
          <w:b w:val="1"/>
          <w:bCs w:val="1"/>
          <w:sz w:val="26"/>
          <w:szCs w:val="26"/>
          <w:rtl w:val="0"/>
        </w:rPr>
        <w:t xml:space="preserve"> 1. Hamburger Batterietag ein klares Signal für Beschleunigung und Umsetzung</w:t>
      </w:r>
      <w:r w:rsidDel="00000000" w:rsidR="00000000" w:rsidRPr="00000000">
        <w:rPr>
          <w:rFonts w:ascii="Helvetica Neue" w:cs="Helvetica Neue" w:eastAsia="Helvetica Neue" w:hAnsi="Helvetica Neue"/>
          <w:sz w:val="26"/>
          <w:szCs w:val="26"/>
          <w:rtl w:val="0"/>
        </w:rPr>
        <w:t xml:space="preserve">.</w:t>
      </w:r>
    </w:p>
    <w:p w:rsidR="00000000" w:rsidDel="00000000" w:rsidP="00000000" w:rsidRDefault="00000000" w:rsidRPr="00000000" w14:paraId="00000005">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Auf Einladung des EnergieBauZentrums Hamburg sowie der Partner NAEXT, FRANK, SCADA-Automation und HOSENSO diskutierten führende Vertreter:innen aus Wissenschaft, Energiewirtschaft und Praxis in der </w:t>
      </w:r>
      <w:r w:rsidDel="00000000" w:rsidR="00000000" w:rsidRPr="00000000">
        <w:rPr>
          <w:rFonts w:ascii="Arial" w:cs="Arial" w:eastAsia="Arial" w:hAnsi="Arial"/>
          <w:sz w:val="24"/>
          <w:szCs w:val="24"/>
          <w:rtl w:val="0"/>
        </w:rPr>
        <w:t xml:space="preserve">Superbude Hamburg Altona</w:t>
      </w:r>
      <w:r w:rsidDel="00000000" w:rsidR="00000000" w:rsidRPr="00000000">
        <w:rPr>
          <w:rFonts w:ascii="Helvetica Neue" w:cs="Helvetica Neue" w:eastAsia="Helvetica Neue" w:hAnsi="Helvetica Neue"/>
          <w:sz w:val="26"/>
          <w:szCs w:val="26"/>
          <w:rtl w:val="0"/>
        </w:rPr>
        <w:t xml:space="preserve"> die Rolle von Batteriespeichern als Schlüsseltechnologie der Energiewende. Tenor aller Beteiligten: „Die Technologie ist bereit. Die Geschäftsmodelle funktionieren. Jetzt braucht es Verlässlichkeit statt Verzögerung.“</w:t>
      </w:r>
    </w:p>
    <w:p w:rsidR="00000000" w:rsidDel="00000000" w:rsidP="00000000" w:rsidRDefault="00000000" w:rsidRPr="00000000" w14:paraId="00000007">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08">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Technologie ist reif – Märkte sind bereit</w:t>
      </w:r>
    </w:p>
    <w:p w:rsidR="00000000" w:rsidDel="00000000" w:rsidP="00000000" w:rsidRDefault="00000000" w:rsidRPr="00000000" w14:paraId="0000000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„Batteriespeicher sind keine Zukunftsvision mehr. Sie sind zentrale Infrastruktur für ein stabiles Energiesystem“, erklärte Prof. Dr. Maximilian Fichtner das Signal eindeutig. Nick Zippel, Geschäftsführer der HWP Handwerkspartner GmbH und Mitgründer von NAEXT, </w:t>
      </w:r>
      <w:r w:rsidDel="00000000" w:rsidR="00000000" w:rsidRPr="00000000">
        <w:rPr>
          <w:rFonts w:ascii="Helvetica Neue" w:cs="Helvetica Neue" w:eastAsia="Helvetica Neue" w:hAnsi="Helvetica Neue"/>
          <w:sz w:val="26"/>
          <w:szCs w:val="26"/>
          <w:rtl w:val="0"/>
        </w:rPr>
        <w:t xml:space="preserve">unterstreich</w:t>
      </w:r>
      <w:r w:rsidDel="00000000" w:rsidR="00000000" w:rsidRPr="00000000">
        <w:rPr>
          <w:rFonts w:ascii="Helvetica Neue" w:cs="Helvetica Neue" w:eastAsia="Helvetica Neue" w:hAnsi="Helvetica Neue"/>
          <w:sz w:val="26"/>
          <w:szCs w:val="26"/>
          <w:rtl w:val="0"/>
        </w:rPr>
        <w:t xml:space="preserve">t die praktische Umsetzung: „Der Hamburger Batterietag zeigt: Wir gestalten die Energiewende, statt nur zu diskutieren. Handwerk, Wirtschaft und Wissenschaft arbeiten gemeinsam an Lösungen – und setzen Tempo statt Stillstand. </w:t>
      </w:r>
      <w:r w:rsidDel="00000000" w:rsidR="00000000" w:rsidRPr="00000000">
        <w:rPr>
          <w:rFonts w:ascii="Helvetica Neue" w:cs="Helvetica Neue" w:eastAsia="Helvetica Neue" w:hAnsi="Helvetica Neue"/>
          <w:sz w:val="26"/>
          <w:szCs w:val="26"/>
          <w:rtl w:val="0"/>
        </w:rPr>
        <w:t xml:space="preserve">Heute haben wir gezeigt, wie eng die Zusammenarbeit bereits ist: starke Handwerker wie die HWP Handwerkspartner Gruppe sowie fossilfrei ausgerichtete Energieversorger wie Frank EcoEnergy und naturstrom bilden eine enge Bande. Dieses Zusammenspiel ist entscheidend, um das Energiesystem konsequent regenerativ umzubauen – für eine resiliente Volkswirtschaft und mehr Unabhängigkeit von fossilen Engpässen wie bei Öl und Gas.</w:t>
      </w:r>
      <w:r w:rsidDel="00000000" w:rsidR="00000000" w:rsidRPr="00000000">
        <w:rPr>
          <w:rFonts w:ascii="Helvetica Neue" w:cs="Helvetica Neue" w:eastAsia="Helvetica Neue" w:hAnsi="Helvetica Neue"/>
          <w:sz w:val="26"/>
          <w:szCs w:val="26"/>
          <w:rtl w:val="0"/>
        </w:rPr>
        <w:t xml:space="preserve">“ Unternehmerische und technologische Expertise treffen so aufeinander, um die Energiewende greifbar und praktisch umsetzbar zu machen.</w:t>
      </w:r>
    </w:p>
    <w:p w:rsidR="00000000" w:rsidDel="00000000" w:rsidP="00000000" w:rsidRDefault="00000000" w:rsidRPr="00000000" w14:paraId="0000000A">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Auch aus Sicht der Energiewirtschaft ist die Botschaft eindeutig.</w:t>
        <w:br w:type="textWrapping"/>
        <w:t xml:space="preserve">Dr. Sarah Debor, Geschäftsbereichsleiterin Geschäftsentwicklung bei der n</w:t>
      </w:r>
      <w:r w:rsidDel="00000000" w:rsidR="00000000" w:rsidRPr="00000000">
        <w:rPr>
          <w:rFonts w:ascii="Helvetica Neue" w:cs="Helvetica Neue" w:eastAsia="Helvetica Neue" w:hAnsi="Helvetica Neue"/>
          <w:sz w:val="26"/>
          <w:szCs w:val="26"/>
          <w:rtl w:val="0"/>
        </w:rPr>
        <w:t xml:space="preserve">aturstrom</w:t>
      </w:r>
      <w:r w:rsidDel="00000000" w:rsidR="00000000" w:rsidRPr="00000000">
        <w:rPr>
          <w:rFonts w:ascii="Helvetica Neue" w:cs="Helvetica Neue" w:eastAsia="Helvetica Neue" w:hAnsi="Helvetica Neue"/>
          <w:sz w:val="26"/>
          <w:szCs w:val="26"/>
          <w:rtl w:val="0"/>
        </w:rPr>
        <w:t xml:space="preserve"> AG, betonte die wachsende Bedeutung von Mittel- und Großspeichern als wirtschaftliches Instrument: „Speicher sind kein Kostentreiber, sondern ein Marktmechanismus. Sie entscheiden darüber, ob erneuerbare Geschäftsmodelle skalieren können.“</w:t>
      </w:r>
    </w:p>
    <w:p w:rsidR="00000000" w:rsidDel="00000000" w:rsidP="00000000" w:rsidRDefault="00000000" w:rsidRPr="00000000" w14:paraId="0000000C">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D">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Praxis zeigt: Umsetzung ist möglich</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Wie Batteriespeicher heute bereits Mehrwert schaffen, zeigten Praxisbeispiele aus Quartieren, Gebäuden und der industriellen Anwendung. Henning Behn, Gründer und Geschäftsführer von NAEXT, machte deutlich, dass Projekte weniger an Technik als an regulatorischer Unsicherheit </w:t>
      </w:r>
      <w:r w:rsidDel="00000000" w:rsidR="00000000" w:rsidRPr="00000000">
        <w:rPr>
          <w:rFonts w:ascii="Helvetica Neue" w:cs="Helvetica Neue" w:eastAsia="Helvetica Neue" w:hAnsi="Helvetica Neue"/>
          <w:sz w:val="26"/>
          <w:szCs w:val="26"/>
          <w:rtl w:val="0"/>
        </w:rPr>
        <w:t xml:space="preserve">gebremst werden.</w:t>
      </w:r>
      <w:r w:rsidDel="00000000" w:rsidR="00000000" w:rsidRPr="00000000">
        <w:rPr>
          <w:rFonts w:ascii="Helvetica Neue" w:cs="Helvetica Neue" w:eastAsia="Helvetica Neue" w:hAnsi="Helvetica Neue"/>
          <w:sz w:val="26"/>
          <w:szCs w:val="26"/>
          <w:rtl w:val="0"/>
        </w:rPr>
        <w:t xml:space="preserve"> Eine weitere unternehmerische Perspektive brachte Henning Behn, Gründer und Geschäftsführer von NAEXT, ein: Sein Unternehmen entwickelt nachhaltige Batteriespeicher „Made in Germany“. „Wenn wir beim Speicherausbau Tempo verlieren, verlieren wir nicht nur Klimaziele, sondern auch industrielle Wertschöpfung.“ Im Panel diskutierten neben Fichtner, Debor und Behn auch Dr. Enno Wolf, ehemaliger COO von LichtBlick SE, sowie Nick Zippel, </w:t>
      </w:r>
      <w:r w:rsidDel="00000000" w:rsidR="00000000" w:rsidRPr="00000000">
        <w:rPr>
          <w:rFonts w:ascii="Helvetica Neue" w:cs="Helvetica Neue" w:eastAsia="Helvetica Neue" w:hAnsi="Helvetica Neue"/>
          <w:sz w:val="26"/>
          <w:szCs w:val="26"/>
          <w:rtl w:val="0"/>
        </w:rPr>
        <w:t xml:space="preserve">Geschäftsführer der HWP, sowie</w:t>
      </w:r>
      <w:r w:rsidDel="00000000" w:rsidR="00000000" w:rsidRPr="00000000">
        <w:rPr>
          <w:rFonts w:ascii="Helvetica Neue" w:cs="Helvetica Neue" w:eastAsia="Helvetica Neue" w:hAnsi="Helvetica Neue"/>
          <w:sz w:val="26"/>
          <w:szCs w:val="26"/>
          <w:rtl w:val="0"/>
        </w:rPr>
        <w:t xml:space="preserve"> Mitgründer von NAEXT.</w:t>
      </w:r>
    </w:p>
    <w:p w:rsidR="00000000" w:rsidDel="00000000" w:rsidP="00000000" w:rsidRDefault="00000000" w:rsidRPr="00000000" w14:paraId="0000000F">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0">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Systemstabilität statt fossiler Reserve</w:t>
      </w:r>
    </w:p>
    <w:p w:rsidR="00000000" w:rsidDel="00000000" w:rsidP="00000000" w:rsidRDefault="00000000" w:rsidRPr="00000000" w14:paraId="0000001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Expert:innen sind sich einig: Ein wachsender Anteil erneuerbarer Energien erfordert intelligente Netzintegration, Flexibilität und dezentrale Speicherlösungen – in Gebäuden, Quartieren, Gewerbe und Industrie. „Speicher bremsen nicht – sie ermöglichen“, lautete die zentrale Botschaft des Batterietags.</w:t>
      </w:r>
    </w:p>
    <w:p w:rsidR="00000000" w:rsidDel="00000000" w:rsidP="00000000" w:rsidRDefault="00000000" w:rsidRPr="00000000" w14:paraId="0000001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1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Praxisbeispiele aus Quartieren, Gebäuden und der Industrie verdeutlichten: Batteriespeicher schaffen heute bereits Mehrwert. Im abschließenden Hybrid-Panel wurde deutlich: Nicht ein Zuviel an erneuerbaren Energien gefährdet die Versorgungssicherheit – sondern ein Zuwenig an Speicherlösungen.</w:t>
      </w:r>
    </w:p>
    <w:p w:rsidR="00000000" w:rsidDel="00000000" w:rsidP="00000000" w:rsidRDefault="00000000" w:rsidRPr="00000000" w14:paraId="00000014">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Hamburg als Standortsignal</w:t>
      </w:r>
    </w:p>
    <w:p w:rsidR="00000000" w:rsidDel="00000000" w:rsidP="00000000" w:rsidRDefault="00000000" w:rsidRPr="00000000" w14:paraId="0000001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Der Hamburger Batterietag versteht sich bewusst als konstruktiver Gegenpol zu einer energiepolitischen Debatte, die aktuell stärker auf Zurückhaltung setzt. Nicht ideologisch, sondern faktenbasiert und marktwirtschaftlich argumentiert die Veranstaltung für Beschleunigung, Investitionssicherheit und technologische Offenheit. „Transformation passiert dort, wo gehandelt wird – nicht dort, wo gezögert wird.“ Der Hamburger Batterietag ist als wiederkehrendes Format geplant.</w:t>
      </w:r>
    </w:p>
    <w:p w:rsidR="00000000" w:rsidDel="00000000" w:rsidP="00000000" w:rsidRDefault="00000000" w:rsidRPr="00000000" w14:paraId="00000017">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8">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Teilnehmerliste:</w:t>
      </w:r>
    </w:p>
    <w:p w:rsidR="00000000" w:rsidDel="00000000" w:rsidP="00000000" w:rsidRDefault="00000000" w:rsidRPr="00000000" w14:paraId="00000019">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Prof. Dr. Maximilian Fichtner, Direktor des Helmholtz-Instituts Ulm (HIU) für Elektrochemische Energiespeicherung</w:t>
      </w:r>
    </w:p>
    <w:p w:rsidR="00000000" w:rsidDel="00000000" w:rsidP="00000000" w:rsidRDefault="00000000" w:rsidRPr="00000000" w14:paraId="0000001A">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Dr. Enno Wolf, ehemaliger COO von LichtBlick SE</w:t>
      </w:r>
    </w:p>
    <w:p w:rsidR="00000000" w:rsidDel="00000000" w:rsidP="00000000" w:rsidRDefault="00000000" w:rsidRPr="00000000" w14:paraId="0000001B">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Nick Zippel, Geschäftsführer HWP Handwerkspartner und Mitgründer von NAEXT</w:t>
      </w:r>
    </w:p>
    <w:p w:rsidR="00000000" w:rsidDel="00000000" w:rsidP="00000000" w:rsidRDefault="00000000" w:rsidRPr="00000000" w14:paraId="0000001C">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Henning Behn, Geschäftsführer und Mitgründer von NAEXT</w:t>
      </w:r>
    </w:p>
    <w:p w:rsidR="00000000" w:rsidDel="00000000" w:rsidP="00000000" w:rsidRDefault="00000000" w:rsidRPr="00000000" w14:paraId="0000001D">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Dr. Sarah Debor, Geschäftsbereichsleiterin Geschäftsentwicklung bei der naturstrom AG</w:t>
      </w:r>
    </w:p>
    <w:p w:rsidR="00000000" w:rsidDel="00000000" w:rsidP="00000000" w:rsidRDefault="00000000" w:rsidRPr="00000000" w14:paraId="0000001E">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Nicola Beck, Nicola Beck, Leiterin EnergieBauZentrum</w:t>
      </w:r>
    </w:p>
    <w:p w:rsidR="00000000" w:rsidDel="00000000" w:rsidP="00000000" w:rsidRDefault="00000000" w:rsidRPr="00000000" w14:paraId="0000001F">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Benedikt Leidorf, Head of Energy &amp; Real Estate Solutions bei FRANK und Geschäftsführer der FRANK Ecoenergy GmbH</w:t>
      </w:r>
    </w:p>
    <w:p w:rsidR="00000000" w:rsidDel="00000000" w:rsidP="00000000" w:rsidRDefault="00000000" w:rsidRPr="00000000" w14:paraId="00000020">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Tomas Fernandez y Wiese, Geschäftsführer der HOSENSO GmbH</w:t>
      </w:r>
    </w:p>
    <w:p w:rsidR="00000000" w:rsidDel="00000000" w:rsidP="00000000" w:rsidRDefault="00000000" w:rsidRPr="00000000" w14:paraId="00000021">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Martin Spiegel, geschäftsführender Gesellschafter der SCADA</w:t>
      </w:r>
    </w:p>
    <w:p w:rsidR="00000000" w:rsidDel="00000000" w:rsidP="00000000" w:rsidRDefault="00000000" w:rsidRPr="00000000" w14:paraId="00000022">
      <w:pPr>
        <w:spacing w:after="20" w:before="20" w:lineRule="auto"/>
        <w:ind w:left="720" w:firstLine="0"/>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3">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24">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25">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r w:rsidDel="00000000" w:rsidR="00000000" w:rsidRPr="00000000">
        <w:rPr>
          <w:rtl w:val="0"/>
        </w:rPr>
      </w:r>
    </w:p>
    <w:p w:rsidR="00000000" w:rsidDel="00000000" w:rsidP="00000000" w:rsidRDefault="00000000" w:rsidRPr="00000000" w14:paraId="0000002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2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2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